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871AB0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Ad-hoc m</w:t>
      </w:r>
      <w:r w:rsidR="00902DB9" w:rsidRPr="00B266B0">
        <w:rPr>
          <w:noProof w:val="0"/>
          <w:sz w:val="24"/>
          <w:szCs w:val="24"/>
        </w:rPr>
        <w:t>eeting</w:t>
      </w:r>
      <w:r w:rsidRPr="00B266B0">
        <w:rPr>
          <w:bCs/>
          <w:noProof w:val="0"/>
          <w:sz w:val="24"/>
          <w:szCs w:val="24"/>
        </w:rPr>
        <w:tab/>
      </w:r>
      <w:r w:rsidR="005229AD" w:rsidRPr="005229AD">
        <w:rPr>
          <w:bCs/>
          <w:noProof w:val="0"/>
          <w:sz w:val="24"/>
          <w:szCs w:val="24"/>
        </w:rPr>
        <w:t>R3-172075</w:t>
      </w:r>
    </w:p>
    <w:p w14:paraId="231362B2" w14:textId="6B137CD3" w:rsidR="00CD4C7B" w:rsidRPr="00B266B0" w:rsidRDefault="00F97596"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Pr>
          <w:rFonts w:eastAsia="SimSun"/>
          <w:noProof w:val="0"/>
          <w:sz w:val="24"/>
          <w:szCs w:val="24"/>
          <w:lang w:eastAsia="zh-CN"/>
        </w:rPr>
        <w:t>27</w:t>
      </w:r>
      <w:r w:rsidR="00C92967">
        <w:rPr>
          <w:rFonts w:eastAsia="SimSun"/>
          <w:noProof w:val="0"/>
          <w:sz w:val="24"/>
          <w:szCs w:val="24"/>
          <w:lang w:eastAsia="zh-CN"/>
        </w:rPr>
        <w:t xml:space="preserve"> - </w:t>
      </w:r>
      <w:r>
        <w:rPr>
          <w:rFonts w:eastAsia="SimSun"/>
          <w:noProof w:val="0"/>
          <w:sz w:val="24"/>
          <w:szCs w:val="24"/>
          <w:lang w:eastAsia="zh-CN"/>
        </w:rPr>
        <w:t>2</w:t>
      </w:r>
      <w:r w:rsidR="00970DB3">
        <w:rPr>
          <w:rFonts w:eastAsia="SimSun"/>
          <w:noProof w:val="0"/>
          <w:sz w:val="24"/>
          <w:szCs w:val="24"/>
          <w:lang w:eastAsia="zh-CN"/>
        </w:rPr>
        <w:t>9</w:t>
      </w:r>
      <w:r w:rsidR="00C92967">
        <w:rPr>
          <w:rFonts w:eastAsia="SimSun"/>
          <w:noProof w:val="0"/>
          <w:sz w:val="24"/>
          <w:szCs w:val="24"/>
          <w:lang w:eastAsia="zh-CN"/>
        </w:rPr>
        <w:t xml:space="preserve"> </w:t>
      </w:r>
      <w:r>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29AD73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229AD">
        <w:rPr>
          <w:rFonts w:cs="Arial"/>
          <w:b/>
          <w:bCs/>
          <w:sz w:val="24"/>
          <w:lang w:eastAsia="ja-JP"/>
        </w:rPr>
        <w:t>10.8.1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06CBC0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F97596">
        <w:rPr>
          <w:rFonts w:ascii="Arial" w:hAnsi="Arial" w:cs="Arial"/>
          <w:b/>
          <w:bCs/>
          <w:sz w:val="24"/>
        </w:rPr>
        <w:t>RRC tunnelling in MR-DC scenarios</w:t>
      </w:r>
      <w:bookmarkEnd w:id="1"/>
    </w:p>
    <w:p w14:paraId="7DF86DB4" w14:textId="0218506D"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97596">
        <w:rPr>
          <w:rFonts w:ascii="Arial" w:hAnsi="Arial" w:cs="Arial"/>
          <w:b/>
          <w:bCs/>
          <w:sz w:val="24"/>
        </w:rPr>
        <w:t>Discussion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F68E465" w14:textId="08E360B8" w:rsidR="00276396" w:rsidRPr="004F33D5" w:rsidRDefault="00087E4E" w:rsidP="00CD4C7B">
      <w:pPr>
        <w:rPr>
          <w:lang w:val="en-US"/>
        </w:rPr>
      </w:pPr>
      <w:r>
        <w:rPr>
          <w:lang w:val="en-US"/>
        </w:rPr>
        <w:t>Due to the specific architecture of the MR-DC, where two interworking nodes serve different RATs, the exchange of the RRC messages over X2 or Xn needs to be designed with particular care. In this paper, we review the reasons the RRC may need to be exchanged over X2 or Xn and then we propose a mechanism to be adopted in RAN3.</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461660BF" w14:textId="37B5F3B4" w:rsidR="00DF1888" w:rsidRDefault="00DF1888" w:rsidP="00DF1888">
      <w:r>
        <w:t>There are 3, rather different, scenarios where RRC information needs to be exchanged between the interworking nodes:</w:t>
      </w:r>
    </w:p>
    <w:p w14:paraId="798BD7C2" w14:textId="4E8ACC5C" w:rsidR="00DF1888" w:rsidRPr="00DF1888" w:rsidRDefault="00DF1888" w:rsidP="00DF1888">
      <w:pPr>
        <w:ind w:left="567" w:right="569"/>
        <w:rPr>
          <w:u w:val="single"/>
        </w:rPr>
      </w:pPr>
      <w:r w:rsidRPr="00DF1888">
        <w:rPr>
          <w:u w:val="single"/>
        </w:rPr>
        <w:t>(1) Providing configuration of the other RAT</w:t>
      </w:r>
    </w:p>
    <w:p w14:paraId="04E13540" w14:textId="01EACB6E" w:rsidR="00DF1888" w:rsidRDefault="00DF1888" w:rsidP="00DF1888">
      <w:pPr>
        <w:ind w:left="567" w:right="569"/>
      </w:pPr>
      <w:r>
        <w:t xml:space="preserve">The scenario concerns the situation, where the UE needs to be configured with the information typical to the other RAT, e.g. at the </w:t>
      </w:r>
      <w:r w:rsidR="00294D0F">
        <w:t xml:space="preserve">SN </w:t>
      </w:r>
      <w:r>
        <w:t xml:space="preserve">addition or modification. The RRC message is provided from the </w:t>
      </w:r>
      <w:r w:rsidR="00294D0F">
        <w:t>MN</w:t>
      </w:r>
      <w:r>
        <w:t xml:space="preserve"> and appended to the </w:t>
      </w:r>
      <w:r w:rsidR="00294D0F">
        <w:t xml:space="preserve">MN </w:t>
      </w:r>
      <w:r>
        <w:t>RRC reconfiguration message.</w:t>
      </w:r>
    </w:p>
    <w:p w14:paraId="5DABE306" w14:textId="278AE9DE" w:rsidR="00322086" w:rsidRPr="00DF1888" w:rsidRDefault="00DF1888" w:rsidP="00DF1888">
      <w:pPr>
        <w:ind w:left="567" w:right="569"/>
        <w:rPr>
          <w:u w:val="single"/>
        </w:rPr>
      </w:pPr>
      <w:r w:rsidRPr="00DF1888">
        <w:rPr>
          <w:u w:val="single"/>
        </w:rPr>
        <w:t>(2</w:t>
      </w:r>
      <w:r w:rsidR="00A07D5A" w:rsidRPr="00DF1888">
        <w:rPr>
          <w:u w:val="single"/>
        </w:rPr>
        <w:t xml:space="preserve">) </w:t>
      </w:r>
      <w:r w:rsidR="00AC1CF4">
        <w:rPr>
          <w:u w:val="single"/>
        </w:rPr>
        <w:t xml:space="preserve">MCG split </w:t>
      </w:r>
      <w:r w:rsidR="008753F5">
        <w:rPr>
          <w:u w:val="single"/>
        </w:rPr>
        <w:t>SRB</w:t>
      </w:r>
      <w:r w:rsidR="003E77FD">
        <w:rPr>
          <w:u w:val="single"/>
        </w:rPr>
        <w:t xml:space="preserve"> (p</w:t>
      </w:r>
      <w:r w:rsidR="00322086" w:rsidRPr="00DF1888">
        <w:rPr>
          <w:u w:val="single"/>
        </w:rPr>
        <w:t>assing RRC messages via the other node</w:t>
      </w:r>
      <w:r w:rsidR="003E77FD">
        <w:rPr>
          <w:u w:val="single"/>
        </w:rPr>
        <w:t>)</w:t>
      </w:r>
      <w:r w:rsidR="00322086" w:rsidRPr="00DF1888">
        <w:rPr>
          <w:u w:val="single"/>
        </w:rPr>
        <w:t>:</w:t>
      </w:r>
    </w:p>
    <w:p w14:paraId="6464FB81" w14:textId="64E2DA4F" w:rsidR="00980156" w:rsidRDefault="00322086" w:rsidP="00DF1888">
      <w:pPr>
        <w:ind w:left="567" w:right="569"/>
      </w:pPr>
      <w:r>
        <w:t xml:space="preserve">The scenario concern </w:t>
      </w:r>
      <w:r w:rsidR="00BA23D3">
        <w:t>RRC PDUs</w:t>
      </w:r>
      <w:r>
        <w:t xml:space="preserve"> that are transferred via the assisting node</w:t>
      </w:r>
      <w:r w:rsidR="00BA23D3">
        <w:t xml:space="preserve"> (currently, via SgNB only)</w:t>
      </w:r>
      <w:r>
        <w:t xml:space="preserve">. In this case, the message must be forwarded to the appropriate UE using the RAT of the assisting node (e.g. </w:t>
      </w:r>
      <w:r w:rsidR="00BA23D3">
        <w:t>LTE</w:t>
      </w:r>
      <w:r>
        <w:t xml:space="preserve"> RRC message is encapsulated in the </w:t>
      </w:r>
      <w:r w:rsidR="00BA23D3">
        <w:t>NR</w:t>
      </w:r>
      <w:r>
        <w:t xml:space="preserve"> RRC messag</w:t>
      </w:r>
      <w:r w:rsidR="00DF1888">
        <w:t>e</w:t>
      </w:r>
      <w:r>
        <w:t>).</w:t>
      </w:r>
    </w:p>
    <w:p w14:paraId="4ADDD9F6" w14:textId="5DDFE927" w:rsidR="00A07D5A" w:rsidRPr="00DF1888" w:rsidRDefault="00A07D5A" w:rsidP="00DF1888">
      <w:pPr>
        <w:ind w:left="567" w:right="569"/>
        <w:rPr>
          <w:u w:val="single"/>
        </w:rPr>
      </w:pPr>
      <w:r w:rsidRPr="00DF1888">
        <w:rPr>
          <w:u w:val="single"/>
        </w:rPr>
        <w:t xml:space="preserve">(3) </w:t>
      </w:r>
      <w:r w:rsidR="00BA23D3">
        <w:rPr>
          <w:u w:val="single"/>
        </w:rPr>
        <w:t>E</w:t>
      </w:r>
      <w:r w:rsidRPr="00DF1888">
        <w:rPr>
          <w:u w:val="single"/>
        </w:rPr>
        <w:t>xchange of the RRC information between nodes</w:t>
      </w:r>
      <w:r w:rsidR="00BA23D3">
        <w:rPr>
          <w:u w:val="single"/>
        </w:rPr>
        <w:t xml:space="preserve"> (if needed, up to RAN2’s decision)</w:t>
      </w:r>
    </w:p>
    <w:p w14:paraId="4DCD3F8A" w14:textId="1949BD67" w:rsidR="00A07D5A" w:rsidRDefault="00A07D5A" w:rsidP="00DF1888">
      <w:pPr>
        <w:ind w:left="567" w:right="569"/>
      </w:pPr>
      <w:r>
        <w:t xml:space="preserve">In this scenario, the information concerns only the interworking nodes and is not forwarded to the UE. At this moment, the only case where such </w:t>
      </w:r>
      <w:r w:rsidR="00BA23D3">
        <w:t>exchange may possibly</w:t>
      </w:r>
      <w:r>
        <w:t xml:space="preserve"> needed is the capability information exchange between the eNB and the gNB.</w:t>
      </w:r>
      <w:r w:rsidR="00BA23D3">
        <w:t xml:space="preserve"> This is still under discussion though.</w:t>
      </w:r>
    </w:p>
    <w:p w14:paraId="6CEFEBEB" w14:textId="07D20130" w:rsidR="00355BDD" w:rsidRDefault="00A07D5A" w:rsidP="00E97871">
      <w:r>
        <w:t xml:space="preserve">In all the cases, the RRC information is related to a particular UE. In cases (1) and (2), the peer node does not interpret the content, </w:t>
      </w:r>
      <w:r w:rsidR="005E0150">
        <w:t xml:space="preserve">it </w:t>
      </w:r>
      <w:r>
        <w:t xml:space="preserve">only forwards it further. </w:t>
      </w:r>
      <w:r w:rsidR="00DF1888">
        <w:t>Case (1) is also familiar from the LTE DC, where the RRC configuration from the SeNB was provided in a RRC container in the X2AP.</w:t>
      </w:r>
      <w:r w:rsidR="00355BDD">
        <w:t xml:space="preserve"> </w:t>
      </w:r>
    </w:p>
    <w:p w14:paraId="1F37A0CA" w14:textId="173AB841" w:rsidR="005E0150" w:rsidRDefault="005E0150" w:rsidP="00E97871">
      <w:r>
        <w:t xml:space="preserve">Also, it is important to make sure that the RRC PDUs are ciphered only once, so that the UE does not need to </w:t>
      </w:r>
      <w:r w:rsidR="00A71450">
        <w:t>repea</w:t>
      </w:r>
      <w:r w:rsidR="00294D0F">
        <w:t>t</w:t>
      </w:r>
      <w:r w:rsidR="00A71450">
        <w:t xml:space="preserve"> costly calculations</w:t>
      </w:r>
      <w:r w:rsidR="005923A6">
        <w:t xml:space="preserve"> (this is also RAN2’s agreement)</w:t>
      </w:r>
      <w:r w:rsidR="00A71450">
        <w:t xml:space="preserve">. In case (1), this is guaranteed by the same method as in LTE DC: the </w:t>
      </w:r>
      <w:r w:rsidR="00294D0F">
        <w:t xml:space="preserve">ASN.1 encoded </w:t>
      </w:r>
      <w:r w:rsidR="00A71450">
        <w:t xml:space="preserve">RRC content is appended to the RRC PDU of the node that forwards the message to the UE. Hence, that node’s RRC ciphering is used only. </w:t>
      </w:r>
    </w:p>
    <w:p w14:paraId="1FC46FAE" w14:textId="6B3EE3C2" w:rsidR="005923A6" w:rsidRPr="00355BDD" w:rsidRDefault="005923A6" w:rsidP="005923A6">
      <w:pPr>
        <w:rPr>
          <w:b/>
        </w:rPr>
      </w:pPr>
      <w:r w:rsidRPr="00355BDD">
        <w:rPr>
          <w:b/>
        </w:rPr>
        <w:t xml:space="preserve">Proposal 1: For </w:t>
      </w:r>
      <w:r>
        <w:rPr>
          <w:b/>
        </w:rPr>
        <w:t>the case</w:t>
      </w:r>
      <w:r w:rsidRPr="00355BDD">
        <w:rPr>
          <w:b/>
        </w:rPr>
        <w:t xml:space="preserve"> where the RRC </w:t>
      </w:r>
      <w:r>
        <w:rPr>
          <w:b/>
        </w:rPr>
        <w:t xml:space="preserve">configuration </w:t>
      </w:r>
      <w:r w:rsidRPr="00355BDD">
        <w:rPr>
          <w:b/>
        </w:rPr>
        <w:t xml:space="preserve">is to be forwarded to the UE, the </w:t>
      </w:r>
      <w:r>
        <w:rPr>
          <w:b/>
        </w:rPr>
        <w:t>RRC information</w:t>
      </w:r>
      <w:r w:rsidRPr="00355BDD">
        <w:rPr>
          <w:b/>
        </w:rPr>
        <w:t xml:space="preserve"> is </w:t>
      </w:r>
      <w:r>
        <w:rPr>
          <w:b/>
        </w:rPr>
        <w:t>to be signalled over X2/Xn as a plain</w:t>
      </w:r>
      <w:r w:rsidRPr="00355BDD">
        <w:rPr>
          <w:b/>
        </w:rPr>
        <w:t xml:space="preserve"> RRC container.</w:t>
      </w:r>
    </w:p>
    <w:p w14:paraId="2818C9A0" w14:textId="5D3EAB17" w:rsidR="00A71450" w:rsidRDefault="00A71450" w:rsidP="00E97871">
      <w:r>
        <w:t>In case (2), this is more complicated. One may consider</w:t>
      </w:r>
      <w:r w:rsidR="005923A6">
        <w:t xml:space="preserve"> forwarding the RRC PDU over X2</w:t>
      </w:r>
      <w:r w:rsidR="00294D0F">
        <w:t>-</w:t>
      </w:r>
      <w:r w:rsidR="005923A6">
        <w:t>U/Xn</w:t>
      </w:r>
      <w:r w:rsidR="00294D0F">
        <w:t>-</w:t>
      </w:r>
      <w:r w:rsidR="005923A6">
        <w:t>U in the PDCP PDU, but this method is subject of losses. One may also use the same method as in case (1): forwarding plain RRC PDU over X2</w:t>
      </w:r>
      <w:r w:rsidR="00294D0F">
        <w:t>-</w:t>
      </w:r>
      <w:r w:rsidR="005923A6">
        <w:t>AP/Xn</w:t>
      </w:r>
      <w:r w:rsidR="00294D0F">
        <w:t>-</w:t>
      </w:r>
      <w:r w:rsidR="005923A6">
        <w:t xml:space="preserve">AP. This, however, makes the solution different from the F1 method. Also, a separate mechanism to detect duplicated RRC PDUs is needed to exploit </w:t>
      </w:r>
      <w:r w:rsidR="005229AD" w:rsidRPr="005229AD">
        <w:t>MCG split SRB</w:t>
      </w:r>
      <w:r w:rsidR="005923A6">
        <w:t xml:space="preserve"> fully. Therefore, the best method is to transfer the RRC PDU from the node hosting the PDCP to the assisting node in a PDCP PDU, but over X2AP/XnAP. </w:t>
      </w:r>
    </w:p>
    <w:p w14:paraId="339118AD" w14:textId="24C7E804" w:rsidR="005923A6" w:rsidRPr="00355BDD" w:rsidRDefault="005923A6" w:rsidP="005923A6">
      <w:pPr>
        <w:rPr>
          <w:b/>
        </w:rPr>
      </w:pPr>
      <w:r w:rsidRPr="00355BDD">
        <w:rPr>
          <w:b/>
        </w:rPr>
        <w:lastRenderedPageBreak/>
        <w:t xml:space="preserve">Proposal </w:t>
      </w:r>
      <w:r>
        <w:rPr>
          <w:b/>
        </w:rPr>
        <w:t xml:space="preserve">2: For </w:t>
      </w:r>
      <w:r w:rsidR="005229AD">
        <w:rPr>
          <w:b/>
        </w:rPr>
        <w:t xml:space="preserve">the </w:t>
      </w:r>
      <w:r>
        <w:rPr>
          <w:b/>
        </w:rPr>
        <w:t>case</w:t>
      </w:r>
      <w:r w:rsidRPr="00355BDD">
        <w:rPr>
          <w:b/>
        </w:rPr>
        <w:t xml:space="preserve"> </w:t>
      </w:r>
      <w:r>
        <w:rPr>
          <w:b/>
        </w:rPr>
        <w:t>of</w:t>
      </w:r>
      <w:r w:rsidRPr="00355BDD">
        <w:rPr>
          <w:b/>
        </w:rPr>
        <w:t xml:space="preserve"> the </w:t>
      </w:r>
      <w:r w:rsidR="005229AD" w:rsidRPr="005229AD">
        <w:rPr>
          <w:b/>
        </w:rPr>
        <w:t>MCG split SRB</w:t>
      </w:r>
      <w:r>
        <w:rPr>
          <w:b/>
        </w:rPr>
        <w:t>, the RRC PDU is to be transferred in a PDCP PDU over X2/Xn CP.</w:t>
      </w:r>
    </w:p>
    <w:p w14:paraId="4C19181B" w14:textId="250F9958" w:rsidR="00B830DC" w:rsidRDefault="00B830DC" w:rsidP="00E97871">
      <w:r>
        <w:t xml:space="preserve">This PDCP PDU must be transported in the X2AP/XnAP as a bit string. However, contrary to the RRC configuration, which belongs always to some X2/Xn procedure, the </w:t>
      </w:r>
      <w:r w:rsidR="005229AD" w:rsidRPr="005229AD">
        <w:t>MCG split SRB</w:t>
      </w:r>
      <w:r>
        <w:t xml:space="preserve"> may need to be exploited also independently. Therefore, it is necessary to create a new class-2 procedure to enable </w:t>
      </w:r>
      <w:r w:rsidR="005229AD" w:rsidRPr="005229AD">
        <w:t>MCG split SRB</w:t>
      </w:r>
      <w:r>
        <w:t>.</w:t>
      </w:r>
    </w:p>
    <w:p w14:paraId="43A11CD6" w14:textId="604E28F1" w:rsidR="00322114" w:rsidRDefault="00B830DC" w:rsidP="00E97871">
      <w:r>
        <w:t>Case (3) is,</w:t>
      </w:r>
      <w:r w:rsidR="00322114">
        <w:t xml:space="preserve"> so far, a theoretical scenario – RAN2 is still discussing what and how is to be exchanged in the context of the capability negotiations. However, one option is that the exchange of information is done using an RRC block. Even though this solution seems suboptimal (it requires that at least one of the peer nodes understands the other’s RRC), RAN3 should be ready to enable such transfer, if it happens to be requested. Having this in mind,</w:t>
      </w:r>
      <w:r w:rsidR="00F16E22">
        <w:t xml:space="preserve"> </w:t>
      </w:r>
      <w:r w:rsidR="00322114">
        <w:t>one may consider what are requirements for such transfer.</w:t>
      </w:r>
    </w:p>
    <w:p w14:paraId="4A8AFBCF" w14:textId="1137FD0E" w:rsidR="00322114" w:rsidRDefault="00322114" w:rsidP="00E97871">
      <w:r>
        <w:t xml:space="preserve">First, there is no need to use PDCP PDU for inter-node communication: the interface is assumed to be safe, so there is no need to encrypt the RRC content, nor any need to handle duplications. On the other hand, this is signalling and thus belongs to the CP. This makes such exchange similar to the case (1). However, it is not entirely sure, if the inter-node messages can always be associated with another X2/Xn procedure. It may therefore be necessary to enable sending them independently. This makes them similar to the case (2). Therefore, the straightforward solution is, to design the procedure for </w:t>
      </w:r>
      <w:r w:rsidR="005229AD" w:rsidRPr="005229AD">
        <w:t>MCG split SRB</w:t>
      </w:r>
      <w:r w:rsidR="005229AD">
        <w:t xml:space="preserve"> </w:t>
      </w:r>
      <w:r>
        <w:t>so, that it can possibly handle inter-node RRC messages, too – if requested in future.</w:t>
      </w:r>
    </w:p>
    <w:p w14:paraId="2EF73352" w14:textId="6F1E327D" w:rsidR="005C4A32" w:rsidRPr="00355BDD" w:rsidRDefault="005C4A32" w:rsidP="005C4A32">
      <w:pPr>
        <w:rPr>
          <w:b/>
        </w:rPr>
      </w:pPr>
      <w:r w:rsidRPr="00355BDD">
        <w:rPr>
          <w:b/>
        </w:rPr>
        <w:t xml:space="preserve">Proposal </w:t>
      </w:r>
      <w:r>
        <w:rPr>
          <w:b/>
        </w:rPr>
        <w:t>3</w:t>
      </w:r>
      <w:r w:rsidRPr="00355BDD">
        <w:rPr>
          <w:b/>
        </w:rPr>
        <w:t xml:space="preserve">: </w:t>
      </w:r>
      <w:r>
        <w:rPr>
          <w:b/>
        </w:rPr>
        <w:t xml:space="preserve">The mechanism defined for the transfer of the RRC </w:t>
      </w:r>
      <w:r w:rsidR="00322114">
        <w:rPr>
          <w:b/>
        </w:rPr>
        <w:t xml:space="preserve">PDU for the </w:t>
      </w:r>
      <w:r w:rsidR="005229AD" w:rsidRPr="005229AD">
        <w:rPr>
          <w:b/>
        </w:rPr>
        <w:t>MCG split SRB</w:t>
      </w:r>
      <w:r w:rsidR="005229AD">
        <w:rPr>
          <w:b/>
        </w:rPr>
        <w:t xml:space="preserve"> </w:t>
      </w:r>
      <w:r>
        <w:rPr>
          <w:b/>
        </w:rPr>
        <w:t>shall also enable transfer of the inter-node RRC information, when needed.</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3884F67D" w14:textId="2CB6EB2C" w:rsidR="00637EF2" w:rsidRDefault="00637EF2" w:rsidP="00637EF2">
      <w:r>
        <w:t>In this paper, we’ve analysed 3 cases where the RRC information needs to be transferred between the interworking nodes. We’ve concluded that:</w:t>
      </w:r>
    </w:p>
    <w:p w14:paraId="52C32F7C" w14:textId="1DB3850A" w:rsidR="00637EF2" w:rsidRPr="00637EF2" w:rsidRDefault="00DC42BA" w:rsidP="00DC42BA">
      <w:pPr>
        <w:pStyle w:val="ListParagraph"/>
        <w:numPr>
          <w:ilvl w:val="0"/>
          <w:numId w:val="6"/>
        </w:numPr>
      </w:pPr>
      <w:r w:rsidRPr="00DC42BA">
        <w:t>For the case where the RRC configuration is to be forwarded to the UE, the RRC information is to be signalled over X2/Xn as a plain RRC container.</w:t>
      </w:r>
    </w:p>
    <w:p w14:paraId="7B2867CE" w14:textId="1018BF72" w:rsidR="00637EF2" w:rsidRPr="00637EF2" w:rsidRDefault="00DC42BA" w:rsidP="005229AD">
      <w:pPr>
        <w:pStyle w:val="ListParagraph"/>
        <w:numPr>
          <w:ilvl w:val="0"/>
          <w:numId w:val="6"/>
        </w:numPr>
      </w:pPr>
      <w:r w:rsidRPr="00DC42BA">
        <w:t xml:space="preserve">For </w:t>
      </w:r>
      <w:r w:rsidR="005229AD">
        <w:t xml:space="preserve">the </w:t>
      </w:r>
      <w:r w:rsidRPr="00DC42BA">
        <w:t xml:space="preserve">case of the </w:t>
      </w:r>
      <w:r w:rsidR="005229AD" w:rsidRPr="005229AD">
        <w:t>MCG split SRB</w:t>
      </w:r>
      <w:r w:rsidRPr="00DC42BA">
        <w:t>, the RRC PDU is to be transferred in a PDCP PDU over X2/Xn CP.</w:t>
      </w:r>
    </w:p>
    <w:p w14:paraId="07EE0769" w14:textId="6DAF9CA9" w:rsidR="00637EF2" w:rsidRPr="00637EF2" w:rsidRDefault="00DC42BA" w:rsidP="005229AD">
      <w:pPr>
        <w:pStyle w:val="ListParagraph"/>
        <w:numPr>
          <w:ilvl w:val="0"/>
          <w:numId w:val="6"/>
        </w:numPr>
      </w:pPr>
      <w:r w:rsidRPr="00DC42BA">
        <w:t xml:space="preserve">The mechanism defined for the transfer of the RRC PDU for the </w:t>
      </w:r>
      <w:r w:rsidR="005229AD" w:rsidRPr="005229AD">
        <w:t>MCG split SRB</w:t>
      </w:r>
      <w:r w:rsidRPr="00DC42BA">
        <w:t xml:space="preserve"> shall also enable transfer of the inter-node RRC information, when needed.</w:t>
      </w:r>
    </w:p>
    <w:p w14:paraId="0068D2DA" w14:textId="49D7ED5B" w:rsidR="00637EF2" w:rsidRPr="006E13D1" w:rsidRDefault="00637EF2" w:rsidP="00637EF2">
      <w:r>
        <w:t>This means, RAN3 shall define a container IE to convey RRC information</w:t>
      </w:r>
      <w:r w:rsidR="00DC42BA">
        <w:t xml:space="preserve"> for case (1) and possibly (3). It is up to the discussion if the same block </w:t>
      </w:r>
      <w:r w:rsidR="00307504">
        <w:t xml:space="preserve">can be used for PDCP PDUs to be transferred as part of the </w:t>
      </w:r>
      <w:r w:rsidR="005229AD" w:rsidRPr="005229AD">
        <w:t>MCG split SRB</w:t>
      </w:r>
      <w:r>
        <w:t xml:space="preserve">. </w:t>
      </w:r>
      <w:r w:rsidR="00307504">
        <w:t>Then, t</w:t>
      </w:r>
      <w:r>
        <w:t>his container</w:t>
      </w:r>
      <w:r w:rsidR="00307504">
        <w:t xml:space="preserve"> (or containers)</w:t>
      </w:r>
      <w:r>
        <w:t>, as an IE, may be appended to some procedure that the RRC information relates to, or transferred in a dedicated one, if the RRC is independent from any X2/Xn procedure.</w:t>
      </w:r>
    </w:p>
    <w:p w14:paraId="2DE7BEEF" w14:textId="4444EC2A" w:rsidR="00637EF2" w:rsidRPr="006E13D1" w:rsidRDefault="00637EF2" w:rsidP="001B49C9">
      <w:r>
        <w:t>The TPs enabling the above proposal are provided in [1] and [2] (for X2AP and XnAP respectively).</w:t>
      </w:r>
      <w:r w:rsidR="009E3063">
        <w:t xml:space="preserve"> Stage-2 TP is provided in [3].</w:t>
      </w:r>
    </w:p>
    <w:p w14:paraId="0FDCFAC2" w14:textId="77777777" w:rsidR="00CD4C7B" w:rsidRPr="006E13D1" w:rsidRDefault="00CD4C7B" w:rsidP="00CD4C7B">
      <w:pPr>
        <w:pStyle w:val="Heading1"/>
      </w:pPr>
      <w:r w:rsidRPr="006E13D1">
        <w:t>References</w:t>
      </w:r>
    </w:p>
    <w:p w14:paraId="55E8CF44" w14:textId="4B7D7480" w:rsidR="004C692C" w:rsidRPr="006E13D1" w:rsidRDefault="009E3063" w:rsidP="009E3063">
      <w:pPr>
        <w:numPr>
          <w:ilvl w:val="0"/>
          <w:numId w:val="4"/>
        </w:numPr>
        <w:overflowPunct w:val="0"/>
        <w:autoSpaceDE w:val="0"/>
        <w:autoSpaceDN w:val="0"/>
        <w:adjustRightInd w:val="0"/>
        <w:textAlignment w:val="baseline"/>
      </w:pPr>
      <w:r w:rsidRPr="009E3063">
        <w:t>R3-172076</w:t>
      </w:r>
      <w:r>
        <w:t>, RAN3 NR-AH, June 2017</w:t>
      </w:r>
    </w:p>
    <w:p w14:paraId="19CC22C3" w14:textId="158D11D3" w:rsidR="009E3063" w:rsidRPr="006E13D1" w:rsidRDefault="009E3063" w:rsidP="009E3063">
      <w:pPr>
        <w:numPr>
          <w:ilvl w:val="0"/>
          <w:numId w:val="4"/>
        </w:numPr>
        <w:overflowPunct w:val="0"/>
        <w:autoSpaceDE w:val="0"/>
        <w:autoSpaceDN w:val="0"/>
        <w:adjustRightInd w:val="0"/>
        <w:textAlignment w:val="baseline"/>
      </w:pPr>
      <w:r w:rsidRPr="009E3063">
        <w:t>R3-172124</w:t>
      </w:r>
      <w:r>
        <w:t>, RAN3 NR-AH, June 2017</w:t>
      </w:r>
    </w:p>
    <w:p w14:paraId="7D694AEA" w14:textId="653CC282" w:rsidR="009E3063" w:rsidRPr="006E13D1" w:rsidRDefault="009E3063" w:rsidP="009E3063">
      <w:pPr>
        <w:numPr>
          <w:ilvl w:val="0"/>
          <w:numId w:val="4"/>
        </w:numPr>
        <w:overflowPunct w:val="0"/>
        <w:autoSpaceDE w:val="0"/>
        <w:autoSpaceDN w:val="0"/>
        <w:adjustRightInd w:val="0"/>
        <w:textAlignment w:val="baseline"/>
      </w:pPr>
      <w:r>
        <w:t>R3-172077, RAN3 NR-AH, June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B4B4D" w14:textId="77777777" w:rsidR="00257829" w:rsidRDefault="00257829">
      <w:r>
        <w:separator/>
      </w:r>
    </w:p>
  </w:endnote>
  <w:endnote w:type="continuationSeparator" w:id="0">
    <w:p w14:paraId="04ED04B4" w14:textId="77777777" w:rsidR="00257829" w:rsidRDefault="0025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143F1" w14:textId="77777777" w:rsidR="00257829" w:rsidRDefault="00257829">
      <w:r>
        <w:separator/>
      </w:r>
    </w:p>
  </w:footnote>
  <w:footnote w:type="continuationSeparator" w:id="0">
    <w:p w14:paraId="745B3384" w14:textId="77777777" w:rsidR="00257829" w:rsidRDefault="00257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40095"/>
    <w:rsid w:val="00080512"/>
    <w:rsid w:val="00083240"/>
    <w:rsid w:val="00087E4E"/>
    <w:rsid w:val="00090468"/>
    <w:rsid w:val="000A78CD"/>
    <w:rsid w:val="000B7BCF"/>
    <w:rsid w:val="000C522B"/>
    <w:rsid w:val="000D16AA"/>
    <w:rsid w:val="000D58AB"/>
    <w:rsid w:val="000F4590"/>
    <w:rsid w:val="0010520C"/>
    <w:rsid w:val="00120C0A"/>
    <w:rsid w:val="00145075"/>
    <w:rsid w:val="001741A0"/>
    <w:rsid w:val="00187381"/>
    <w:rsid w:val="00194CD0"/>
    <w:rsid w:val="001B49C9"/>
    <w:rsid w:val="001F168B"/>
    <w:rsid w:val="001F7831"/>
    <w:rsid w:val="00204045"/>
    <w:rsid w:val="0022606D"/>
    <w:rsid w:val="0023670E"/>
    <w:rsid w:val="00240C7D"/>
    <w:rsid w:val="00257829"/>
    <w:rsid w:val="00263E69"/>
    <w:rsid w:val="002747EC"/>
    <w:rsid w:val="00276396"/>
    <w:rsid w:val="002855BF"/>
    <w:rsid w:val="00294D0F"/>
    <w:rsid w:val="002B0763"/>
    <w:rsid w:val="002F0D22"/>
    <w:rsid w:val="002F7673"/>
    <w:rsid w:val="00307504"/>
    <w:rsid w:val="003172DC"/>
    <w:rsid w:val="00322086"/>
    <w:rsid w:val="00322114"/>
    <w:rsid w:val="00326069"/>
    <w:rsid w:val="00344999"/>
    <w:rsid w:val="0035462D"/>
    <w:rsid w:val="00355BDD"/>
    <w:rsid w:val="003934FB"/>
    <w:rsid w:val="00393F78"/>
    <w:rsid w:val="003B40AD"/>
    <w:rsid w:val="003C4E37"/>
    <w:rsid w:val="003D4034"/>
    <w:rsid w:val="003E16BE"/>
    <w:rsid w:val="003E77FD"/>
    <w:rsid w:val="00401855"/>
    <w:rsid w:val="00477455"/>
    <w:rsid w:val="004C1EC1"/>
    <w:rsid w:val="004C692C"/>
    <w:rsid w:val="004D3578"/>
    <w:rsid w:val="004D380D"/>
    <w:rsid w:val="004E213A"/>
    <w:rsid w:val="004F33D5"/>
    <w:rsid w:val="004F75EB"/>
    <w:rsid w:val="00503171"/>
    <w:rsid w:val="00506C28"/>
    <w:rsid w:val="005229AD"/>
    <w:rsid w:val="00534DA0"/>
    <w:rsid w:val="00543E6C"/>
    <w:rsid w:val="00565087"/>
    <w:rsid w:val="0056573F"/>
    <w:rsid w:val="005923A6"/>
    <w:rsid w:val="005C4A32"/>
    <w:rsid w:val="005E0150"/>
    <w:rsid w:val="00611566"/>
    <w:rsid w:val="00637EF2"/>
    <w:rsid w:val="00646D99"/>
    <w:rsid w:val="00647F8A"/>
    <w:rsid w:val="00650F30"/>
    <w:rsid w:val="00656910"/>
    <w:rsid w:val="006777CB"/>
    <w:rsid w:val="006C66D8"/>
    <w:rsid w:val="006D1E24"/>
    <w:rsid w:val="006E1417"/>
    <w:rsid w:val="006F6A2C"/>
    <w:rsid w:val="00702F60"/>
    <w:rsid w:val="00710201"/>
    <w:rsid w:val="00734A5B"/>
    <w:rsid w:val="00744E76"/>
    <w:rsid w:val="00751596"/>
    <w:rsid w:val="00757D40"/>
    <w:rsid w:val="00781F0F"/>
    <w:rsid w:val="0078727C"/>
    <w:rsid w:val="0079049D"/>
    <w:rsid w:val="007B18D8"/>
    <w:rsid w:val="007C095F"/>
    <w:rsid w:val="007E1361"/>
    <w:rsid w:val="008028A4"/>
    <w:rsid w:val="00813245"/>
    <w:rsid w:val="008753F5"/>
    <w:rsid w:val="008768CA"/>
    <w:rsid w:val="00877EF9"/>
    <w:rsid w:val="00880559"/>
    <w:rsid w:val="008B5306"/>
    <w:rsid w:val="0090271F"/>
    <w:rsid w:val="00902DB9"/>
    <w:rsid w:val="0090466A"/>
    <w:rsid w:val="00936071"/>
    <w:rsid w:val="00940212"/>
    <w:rsid w:val="00942EC2"/>
    <w:rsid w:val="00961B32"/>
    <w:rsid w:val="00970DB3"/>
    <w:rsid w:val="00974BB0"/>
    <w:rsid w:val="00980156"/>
    <w:rsid w:val="00984C22"/>
    <w:rsid w:val="009A0AF3"/>
    <w:rsid w:val="009B07CD"/>
    <w:rsid w:val="009C19E9"/>
    <w:rsid w:val="009E3063"/>
    <w:rsid w:val="009E388D"/>
    <w:rsid w:val="00A07D5A"/>
    <w:rsid w:val="00A10F02"/>
    <w:rsid w:val="00A204CA"/>
    <w:rsid w:val="00A35808"/>
    <w:rsid w:val="00A53724"/>
    <w:rsid w:val="00A71450"/>
    <w:rsid w:val="00A82346"/>
    <w:rsid w:val="00A9671C"/>
    <w:rsid w:val="00AA1553"/>
    <w:rsid w:val="00AC1CF4"/>
    <w:rsid w:val="00B15449"/>
    <w:rsid w:val="00B179BA"/>
    <w:rsid w:val="00B47FD1"/>
    <w:rsid w:val="00B516BB"/>
    <w:rsid w:val="00B830DC"/>
    <w:rsid w:val="00BA23D3"/>
    <w:rsid w:val="00C12B51"/>
    <w:rsid w:val="00C24650"/>
    <w:rsid w:val="00C33079"/>
    <w:rsid w:val="00C83A13"/>
    <w:rsid w:val="00C9068C"/>
    <w:rsid w:val="00C92967"/>
    <w:rsid w:val="00CA3D0C"/>
    <w:rsid w:val="00CA654B"/>
    <w:rsid w:val="00CD4C7B"/>
    <w:rsid w:val="00CD6AF0"/>
    <w:rsid w:val="00CE00F3"/>
    <w:rsid w:val="00CE7BBB"/>
    <w:rsid w:val="00D1408F"/>
    <w:rsid w:val="00D273D6"/>
    <w:rsid w:val="00D738D6"/>
    <w:rsid w:val="00D80795"/>
    <w:rsid w:val="00D87E00"/>
    <w:rsid w:val="00D9134D"/>
    <w:rsid w:val="00D96D11"/>
    <w:rsid w:val="00DA7A03"/>
    <w:rsid w:val="00DB1818"/>
    <w:rsid w:val="00DC309B"/>
    <w:rsid w:val="00DC42BA"/>
    <w:rsid w:val="00DC4DA2"/>
    <w:rsid w:val="00DF1888"/>
    <w:rsid w:val="00E62835"/>
    <w:rsid w:val="00E77645"/>
    <w:rsid w:val="00E83697"/>
    <w:rsid w:val="00E97871"/>
    <w:rsid w:val="00EC4A25"/>
    <w:rsid w:val="00F025A2"/>
    <w:rsid w:val="00F07388"/>
    <w:rsid w:val="00F16E22"/>
    <w:rsid w:val="00F2026E"/>
    <w:rsid w:val="00F2210A"/>
    <w:rsid w:val="00F37743"/>
    <w:rsid w:val="00F54A3D"/>
    <w:rsid w:val="00F60D18"/>
    <w:rsid w:val="00F653B8"/>
    <w:rsid w:val="00F71B89"/>
    <w:rsid w:val="00F7353C"/>
    <w:rsid w:val="00F76F8F"/>
    <w:rsid w:val="00F9759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92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CF339-13AE-47B4-887D-A483EF98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2</Pages>
  <Words>867</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Enhancements to the X2 UP</vt:lpstr>
    </vt:vector>
  </TitlesOfParts>
  <Company>Nokia Siemens Networks</Company>
  <LinksUpToDate>false</LinksUpToDate>
  <CharactersWithSpaces>6061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RRC tunnelling in MR-DC scenarios</dc:title>
  <dc:subject>3GPP RAN3 #96</dc:subject>
  <dc:creator>Kordybach, Krzysztof (Nokia - PL/Wroclaw)</dc:creator>
  <cp:lastModifiedBy>Nokia</cp:lastModifiedBy>
  <cp:revision>4</cp:revision>
  <dcterms:created xsi:type="dcterms:W3CDTF">2017-06-16T11:53:00Z</dcterms:created>
  <dcterms:modified xsi:type="dcterms:W3CDTF">2017-06-19T14:33:00Z</dcterms:modified>
</cp:coreProperties>
</file>